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3E02B825"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10</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F07B5F">
        <w:rPr>
          <w:rFonts w:cs="Arial"/>
          <w:noProof w:val="0"/>
          <w:sz w:val="24"/>
        </w:rPr>
        <w:t>4</w:t>
      </w:r>
      <w:r w:rsidR="003C7291">
        <w:rPr>
          <w:rFonts w:cs="Arial"/>
          <w:noProof w:val="0"/>
          <w:sz w:val="24"/>
        </w:rPr>
        <w:t>01431</w:t>
      </w:r>
    </w:p>
    <w:p w14:paraId="321D1244" w14:textId="7A05B19E" w:rsidR="0011347F" w:rsidRPr="00AB081E" w:rsidRDefault="00F07B5F" w:rsidP="0011347F">
      <w:pPr>
        <w:pStyle w:val="Header"/>
        <w:tabs>
          <w:tab w:val="right" w:pos="8280"/>
          <w:tab w:val="right" w:pos="9639"/>
        </w:tabs>
        <w:jc w:val="both"/>
        <w:rPr>
          <w:rFonts w:cs="Arial"/>
          <w:sz w:val="24"/>
          <w:szCs w:val="24"/>
        </w:rPr>
      </w:pPr>
      <w:r>
        <w:rPr>
          <w:rFonts w:cs="Arial"/>
          <w:sz w:val="24"/>
          <w:szCs w:val="24"/>
        </w:rPr>
        <w:t>Athens</w:t>
      </w:r>
      <w:r w:rsidR="00D00CC3">
        <w:rPr>
          <w:rFonts w:cs="Arial"/>
          <w:sz w:val="24"/>
          <w:szCs w:val="24"/>
        </w:rPr>
        <w:t xml:space="preserve">, </w:t>
      </w:r>
      <w:r>
        <w:rPr>
          <w:rFonts w:cs="Arial"/>
          <w:sz w:val="24"/>
          <w:szCs w:val="24"/>
        </w:rPr>
        <w:t>Greece</w:t>
      </w:r>
      <w:r w:rsidR="0011347F" w:rsidRPr="00AB081E">
        <w:rPr>
          <w:rFonts w:cs="Arial"/>
          <w:sz w:val="24"/>
          <w:szCs w:val="24"/>
        </w:rPr>
        <w:t xml:space="preserve">, </w:t>
      </w:r>
      <w:r>
        <w:rPr>
          <w:rFonts w:cs="Arial"/>
          <w:sz w:val="24"/>
          <w:szCs w:val="24"/>
        </w:rPr>
        <w:t>26</w:t>
      </w:r>
      <w:r w:rsidR="00631941" w:rsidRPr="00631941">
        <w:rPr>
          <w:rFonts w:cs="Arial"/>
          <w:sz w:val="24"/>
          <w:szCs w:val="24"/>
          <w:vertAlign w:val="superscript"/>
        </w:rPr>
        <w:t>th</w:t>
      </w:r>
      <w:r w:rsidR="00631941">
        <w:rPr>
          <w:rFonts w:cs="Arial"/>
          <w:sz w:val="24"/>
          <w:szCs w:val="24"/>
        </w:rPr>
        <w:t xml:space="preserve"> </w:t>
      </w:r>
      <w:r>
        <w:rPr>
          <w:rFonts w:cs="Arial"/>
          <w:sz w:val="24"/>
          <w:szCs w:val="24"/>
        </w:rPr>
        <w:t xml:space="preserve">February </w:t>
      </w:r>
      <w:r w:rsidR="0011347F">
        <w:rPr>
          <w:rFonts w:cs="Arial"/>
          <w:sz w:val="24"/>
          <w:szCs w:val="24"/>
        </w:rPr>
        <w:t xml:space="preserve">– </w:t>
      </w:r>
      <w:r>
        <w:rPr>
          <w:rFonts w:cs="Arial"/>
          <w:sz w:val="24"/>
          <w:szCs w:val="24"/>
        </w:rPr>
        <w:t>1</w:t>
      </w:r>
      <w:r w:rsidRPr="00F07B5F">
        <w:rPr>
          <w:rFonts w:cs="Arial"/>
          <w:sz w:val="24"/>
          <w:szCs w:val="24"/>
          <w:vertAlign w:val="superscript"/>
        </w:rPr>
        <w:t>st</w:t>
      </w:r>
      <w:r>
        <w:rPr>
          <w:rFonts w:cs="Arial"/>
          <w:sz w:val="24"/>
          <w:szCs w:val="24"/>
        </w:rPr>
        <w:t xml:space="preserve"> March</w:t>
      </w:r>
      <w:r w:rsidR="0011347F" w:rsidRPr="00AE32FA">
        <w:rPr>
          <w:rFonts w:cs="Arial"/>
          <w:sz w:val="24"/>
          <w:szCs w:val="24"/>
        </w:rPr>
        <w:t xml:space="preserve"> 202</w:t>
      </w:r>
      <w:r>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2C247F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07B5F">
        <w:rPr>
          <w:rFonts w:ascii="Arial" w:hAnsi="Arial" w:cs="Arial"/>
          <w:b/>
          <w:sz w:val="24"/>
        </w:rPr>
        <w:t>8.26.2.2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125E98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 xml:space="preserve">NR network energy saving RRM </w:t>
      </w:r>
      <w:r w:rsidR="00F07B5F">
        <w:rPr>
          <w:rFonts w:ascii="Arial" w:hAnsi="Arial" w:cs="Arial"/>
          <w:b/>
          <w:sz w:val="24"/>
        </w:rPr>
        <w:t>maintenance</w:t>
      </w:r>
      <w:r w:rsidR="00315915">
        <w:rPr>
          <w:rFonts w:ascii="Arial" w:hAnsi="Arial" w:cs="Arial"/>
          <w:b/>
          <w:sz w:val="24"/>
        </w:rPr>
        <w:t xml:space="preserve"> – SSB-less SCell</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D2376A8" w14:textId="5E7D5287" w:rsidR="00963D2F" w:rsidRDefault="00F07B5F" w:rsidP="00E62411">
      <w:r>
        <w:t>December last year was the closing point for this work item in 3GPP RAN groups</w:t>
      </w:r>
      <w:r w:rsidR="00E145A9">
        <w:t>.</w:t>
      </w:r>
      <w:r>
        <w:t xml:space="preserve"> Yet we still have a few things to do starting this year for NR NES RRM requirements and the maintenance work needs discussions</w:t>
      </w:r>
      <w:r w:rsidR="0053439B">
        <w:t>.</w:t>
      </w:r>
    </w:p>
    <w:p w14:paraId="12972A5B" w14:textId="3637FA7A" w:rsidR="00E62411" w:rsidRDefault="003C2F62" w:rsidP="00E62411">
      <w:r w:rsidRPr="00536CC1">
        <w:t>In this paper we provide our views on</w:t>
      </w:r>
      <w:r w:rsidR="0026404E">
        <w:t xml:space="preserve"> </w:t>
      </w:r>
      <w:r w:rsidR="0016005A">
        <w:t xml:space="preserve">the </w:t>
      </w:r>
      <w:r w:rsidR="0053439B">
        <w:t>maintenance aspects for RRM requirements in Rel-18 for network energy saving</w:t>
      </w:r>
      <w:r w:rsidR="002A3FC8">
        <w:t>.</w:t>
      </w:r>
    </w:p>
    <w:p w14:paraId="7A73CE75" w14:textId="548A0372" w:rsidR="00EB6DB3" w:rsidRDefault="00EB6DB3" w:rsidP="006850C8">
      <w:pPr>
        <w:pStyle w:val="Heading1"/>
      </w:pPr>
      <w:r>
        <w:t>Discussion</w:t>
      </w:r>
    </w:p>
    <w:p w14:paraId="4D3C030D" w14:textId="2A8026CA" w:rsidR="001A63FD" w:rsidRDefault="00AB0D2A" w:rsidP="001A63FD">
      <w:pPr>
        <w:pStyle w:val="Heading2"/>
        <w:ind w:left="567"/>
      </w:pPr>
      <w:r>
        <w:t>Remaining issues on SCell activation requirements</w:t>
      </w:r>
    </w:p>
    <w:p w14:paraId="03643219" w14:textId="340880C3" w:rsidR="00840947" w:rsidRDefault="00BB46D0" w:rsidP="00182B74">
      <w:r>
        <w:t xml:space="preserve">RAN4 has agreed to </w:t>
      </w:r>
      <w:r w:rsidR="00AB0D2A">
        <w:t>a</w:t>
      </w:r>
      <w:r>
        <w:t xml:space="preserve"> major part of the SSB-less SCell activation requirements in the previous meeting and by CRs the spec now specifies the conditions to apply the requirements as in the below box.</w:t>
      </w:r>
    </w:p>
    <w:tbl>
      <w:tblPr>
        <w:tblStyle w:val="TableGrid"/>
        <w:tblW w:w="0" w:type="auto"/>
        <w:tblLook w:val="04A0" w:firstRow="1" w:lastRow="0" w:firstColumn="1" w:lastColumn="0" w:noHBand="0" w:noVBand="1"/>
      </w:tblPr>
      <w:tblGrid>
        <w:gridCol w:w="9629"/>
      </w:tblGrid>
      <w:tr w:rsidR="00BB46D0" w14:paraId="2212434F" w14:textId="77777777" w:rsidTr="00BB46D0">
        <w:tc>
          <w:tcPr>
            <w:tcW w:w="9629" w:type="dxa"/>
          </w:tcPr>
          <w:p w14:paraId="589B0A5D" w14:textId="77777777" w:rsidR="00BB46D0" w:rsidRDefault="00BB46D0" w:rsidP="00BB46D0">
            <w:pPr>
              <w:pStyle w:val="B2"/>
              <w:ind w:firstLine="0"/>
              <w:rPr>
                <w:lang w:val="en-US" w:eastAsia="zh-CN"/>
              </w:rPr>
            </w:pP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 when the following conditions are fulfilled </w:t>
            </w:r>
            <w:r>
              <w:rPr>
                <w:lang w:eastAsia="zh-CN"/>
              </w:rPr>
              <w:t>f</w:t>
            </w:r>
            <w:r>
              <w:rPr>
                <w:lang w:val="en-US" w:eastAsia="zh-CN"/>
              </w:rPr>
              <w:t>or UE supporting [</w:t>
            </w:r>
            <w:r>
              <w:rPr>
                <w:i/>
                <w:iCs/>
              </w:rPr>
              <w:t>scellWithoutSSB-interband</w:t>
            </w:r>
            <w:r>
              <w:rPr>
                <w:lang w:val="en-US" w:eastAsia="zh-CN"/>
              </w:rPr>
              <w:t>],</w:t>
            </w:r>
          </w:p>
          <w:p w14:paraId="4EE984F3" w14:textId="77777777" w:rsidR="00BB46D0" w:rsidRDefault="00BB46D0" w:rsidP="00BB46D0">
            <w:pPr>
              <w:pStyle w:val="B3"/>
              <w:rPr>
                <w:lang w:val="en-GB"/>
              </w:rPr>
            </w:pPr>
            <w:r>
              <w:rPr>
                <w:lang w:eastAsia="zh-CN"/>
              </w:rPr>
              <w:t>-</w:t>
            </w:r>
            <w:r>
              <w:rPr>
                <w:lang w:eastAsia="zh-CN"/>
              </w:rPr>
              <w:tab/>
            </w:r>
            <w:r>
              <w:t xml:space="preserve">The RTD between the target SCell and the colocated reference serving cell is within CP where CP is corresponding to the SCS of SSB-less SCell, and </w:t>
            </w:r>
          </w:p>
          <w:p w14:paraId="6F9E3F15" w14:textId="77777777" w:rsidR="00BB46D0" w:rsidRDefault="00BB46D0" w:rsidP="00BB46D0">
            <w:pPr>
              <w:pStyle w:val="B3"/>
            </w:pPr>
            <w:r>
              <w:t>-</w:t>
            </w:r>
            <w:r>
              <w:tab/>
              <w:t xml:space="preserve">The [EPRE] difference at UE side is </w:t>
            </w:r>
            <w:r>
              <w:rPr>
                <w:lang w:val="en-US" w:eastAsia="zh-CN"/>
              </w:rPr>
              <w:t>smaller than or equal to</w:t>
            </w:r>
            <w:r>
              <w:t xml:space="preserve"> [9] dB, where, [EPRE] difference is the power difference between TRS/A-TRS symbol on the SSB-less SCell and SSB symbol on the reference serving cell [after the compensation for AGC], and</w:t>
            </w:r>
          </w:p>
          <w:p w14:paraId="24E6FC8C" w14:textId="77777777" w:rsidR="00BB46D0" w:rsidRDefault="00BB46D0" w:rsidP="00BB46D0">
            <w:pPr>
              <w:pStyle w:val="B3"/>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C733A56" w14:textId="77777777" w:rsidR="00BB46D0" w:rsidRDefault="00BB46D0" w:rsidP="00BB46D0">
            <w:pPr>
              <w:pStyle w:val="B2"/>
              <w:ind w:firstLine="0"/>
              <w:rPr>
                <w:lang w:val="en-US" w:eastAsia="zh-CN"/>
              </w:rPr>
            </w:pPr>
            <w:r w:rsidRPr="00BB46D0">
              <w:rPr>
                <w:shd w:val="clear" w:color="auto" w:fill="FFE599" w:themeFill="accent4" w:themeFillTint="66"/>
                <w:lang w:val="en-US" w:eastAsia="zh-CN"/>
              </w:rPr>
              <w:t>where the reference serving cell can be indicated by higherlayer parameter [</w:t>
            </w:r>
            <w:r w:rsidRPr="00BB46D0">
              <w:rPr>
                <w:i/>
                <w:shd w:val="clear" w:color="auto" w:fill="FFE599" w:themeFill="accent4" w:themeFillTint="66"/>
                <w:lang w:val="en-US" w:eastAsia="zh-CN"/>
              </w:rPr>
              <w:t>SSB-less-Referencecell</w:t>
            </w:r>
            <w:r w:rsidRPr="00BB46D0">
              <w:rPr>
                <w:shd w:val="clear" w:color="auto" w:fill="FFE599" w:themeFill="accent4" w:themeFillTint="66"/>
                <w:lang w:val="en-US" w:eastAsia="zh-CN"/>
              </w:rPr>
              <w:t>]. If UE is not indicated with [</w:t>
            </w:r>
            <w:r w:rsidRPr="00BB46D0">
              <w:rPr>
                <w:i/>
                <w:shd w:val="clear" w:color="auto" w:fill="FFE599" w:themeFill="accent4" w:themeFillTint="66"/>
                <w:lang w:val="en-US" w:eastAsia="zh-CN"/>
              </w:rPr>
              <w:t>SSB-less-Referencecell</w:t>
            </w:r>
            <w:r w:rsidRPr="00BB46D0">
              <w:rPr>
                <w:shd w:val="clear" w:color="auto" w:fill="FFE599" w:themeFill="accent4" w:themeFillTint="66"/>
                <w:lang w:val="en-US" w:eastAsia="zh-CN"/>
              </w:rPr>
              <w:t>],</w:t>
            </w:r>
            <w:r w:rsidRPr="00BB46D0">
              <w:rPr>
                <w:shd w:val="clear" w:color="auto" w:fill="FFE599" w:themeFill="accent4" w:themeFillTint="66"/>
                <w:lang w:eastAsia="zh-CN"/>
              </w:rPr>
              <w:t xml:space="preserve"> </w:t>
            </w:r>
            <w:r w:rsidRPr="00BB46D0">
              <w:rPr>
                <w:shd w:val="clear" w:color="auto" w:fill="FFE599" w:themeFill="accent4" w:themeFillTint="66"/>
                <w:lang w:val="en-US" w:eastAsia="zh-CN"/>
              </w:rPr>
              <w:t xml:space="preserve">the reference serving cell is assumed to be the QCL-typeC source cell </w:t>
            </w:r>
            <w:r w:rsidRPr="00BB46D0">
              <w:rPr>
                <w:shd w:val="clear" w:color="auto" w:fill="FFE599" w:themeFill="accent4" w:themeFillTint="66"/>
              </w:rPr>
              <w:t>i</w:t>
            </w:r>
            <w:r w:rsidRPr="00BB46D0">
              <w:rPr>
                <w:shd w:val="clear" w:color="auto" w:fill="FFE599" w:themeFill="accent4" w:themeFillTint="66"/>
                <w:lang w:val="en-US" w:eastAsia="zh-CN"/>
              </w:rPr>
              <w:t>f there is only one active QCL-typeC source cell configured.</w:t>
            </w:r>
          </w:p>
          <w:p w14:paraId="7B91C6E9" w14:textId="77777777" w:rsidR="00BB46D0" w:rsidRDefault="00BB46D0" w:rsidP="00BB46D0">
            <w:pPr>
              <w:pStyle w:val="B3"/>
              <w:ind w:left="852" w:hanging="1"/>
              <w:rPr>
                <w:i/>
                <w:lang w:val="en-GB"/>
              </w:rPr>
            </w:pPr>
            <w:r>
              <w:rPr>
                <w:i/>
              </w:rPr>
              <w:t>Editor notes: FFS whether and how to capture if there are more than one QCL source cell.</w:t>
            </w:r>
          </w:p>
          <w:p w14:paraId="6295A61B" w14:textId="3C7C452D" w:rsidR="00BB46D0" w:rsidRPr="00BB46D0" w:rsidRDefault="00BB46D0" w:rsidP="00BB46D0">
            <w:pPr>
              <w:pStyle w:val="B3"/>
              <w:ind w:left="852" w:hanging="1"/>
              <w:rPr>
                <w:i/>
              </w:rPr>
            </w:pPr>
            <w:r>
              <w:rPr>
                <w:i/>
              </w:rPr>
              <w:t>Editor notes: FFS whether and how to capture the wording “</w:t>
            </w:r>
            <w:r>
              <w:t>after the compensation for AGC</w:t>
            </w:r>
            <w:r>
              <w:rPr>
                <w:i/>
              </w:rPr>
              <w:t>”.</w:t>
            </w:r>
          </w:p>
        </w:tc>
      </w:tr>
    </w:tbl>
    <w:p w14:paraId="7F42C2EC" w14:textId="5086872C" w:rsidR="00BB46D0" w:rsidRDefault="00BB46D0" w:rsidP="00182B74">
      <w:r>
        <w:t xml:space="preserve">It is specified that the reference cell for UE to take reference </w:t>
      </w:r>
      <w:proofErr w:type="gramStart"/>
      <w:r>
        <w:t>in order to</w:t>
      </w:r>
      <w:proofErr w:type="gramEnd"/>
      <w:r>
        <w:t xml:space="preserve"> activate target SSB-less SCell can be configured by the network by RRC signalling. And when there is no configuration of the reference cell to the UE, the UE assumes that the QCL-typeC source cell to be the reference cell. However</w:t>
      </w:r>
      <w:r w:rsidR="008D5EFB">
        <w:t>,</w:t>
      </w:r>
      <w:r>
        <w:t xml:space="preserve"> it is still possible that the active QCL-typeC source cell is </w:t>
      </w:r>
      <w:r w:rsidR="008D5EFB">
        <w:t xml:space="preserve">configured </w:t>
      </w:r>
      <w:r>
        <w:t>more than just one.</w:t>
      </w:r>
    </w:p>
    <w:p w14:paraId="7B9C99DF" w14:textId="77777777" w:rsidR="00AB0D2A" w:rsidRPr="005C2D1C" w:rsidRDefault="00AB0D2A" w:rsidP="00AB0D2A">
      <w:pPr>
        <w:spacing w:before="240"/>
        <w:rPr>
          <w:b/>
          <w:bCs/>
          <w:i/>
          <w:iCs/>
          <w:u w:val="single"/>
        </w:rPr>
      </w:pPr>
      <w:r>
        <w:rPr>
          <w:b/>
          <w:bCs/>
          <w:i/>
          <w:iCs/>
          <w:u w:val="single"/>
        </w:rPr>
        <w:t>Reference cell indication</w:t>
      </w:r>
    </w:p>
    <w:p w14:paraId="76540F1E" w14:textId="2FB7D1D9" w:rsidR="00BB46D0" w:rsidRDefault="008D5EFB" w:rsidP="00182B74">
      <w:r>
        <w:lastRenderedPageBreak/>
        <w:t>The UE uses the information of reference cell to consider the power difference between target CSI-RS and the reference cell SSB. It is preferred from system performance perspective that the network should configure the best cell in terms of that difference among all possible QCL-typeC source cells for the UE. In this sense if the network configuration is not available to the UE, the UE should choose the best</w:t>
      </w:r>
      <w:r w:rsidR="00AB0D2A">
        <w:t xml:space="preserve"> suitable reference cell for itself among multiple QCL source cells.</w:t>
      </w:r>
    </w:p>
    <w:p w14:paraId="4FFF90A2" w14:textId="4AA67552" w:rsidR="00AB0D2A" w:rsidRPr="00AB0D2A" w:rsidRDefault="00AB0D2A" w:rsidP="00182B74">
      <w:pPr>
        <w:rPr>
          <w:b/>
          <w:bCs/>
        </w:rPr>
      </w:pPr>
      <w:r w:rsidRPr="00AB0D2A">
        <w:rPr>
          <w:b/>
          <w:bCs/>
        </w:rPr>
        <w:t>Proposal 1: UE is expected to select the best suitable reference cell among multiple QCL source cells when there are multiple QCL source cells and reference cell is not explicitly configured to the UE.</w:t>
      </w:r>
    </w:p>
    <w:p w14:paraId="73E4E193" w14:textId="6B46D2E8" w:rsidR="00D60861" w:rsidRDefault="00D60861" w:rsidP="00182B74">
      <w:r>
        <w:t>The general idea of this fast SCell activation process is to facilitate the UE relying on serving cell parameters (time/</w:t>
      </w:r>
      <w:r w:rsidR="0021428A">
        <w:t>frequency/</w:t>
      </w:r>
      <w:r>
        <w:t xml:space="preserve">spatial parameters) and using them on the target SCell to activate it without acquiring the needed parameters </w:t>
      </w:r>
      <w:r w:rsidR="0021428A">
        <w:t xml:space="preserve">through any SSB transmitted. When there are multiple active serving cells for the UE to choose the reference cell from, RAN4 agreed to introduce a network indication to the UE to guide on the choice. By the knowledge of the deployment, the network should indicate the correct reference serving cell to the UE to guarantee the correlation between the reference cell and the target SSB-less SCell in terms of time, </w:t>
      </w:r>
      <w:proofErr w:type="gramStart"/>
      <w:r w:rsidR="0021428A">
        <w:t>frequency</w:t>
      </w:r>
      <w:proofErr w:type="gramEnd"/>
      <w:r w:rsidR="0021428A">
        <w:t xml:space="preserve"> and spatial parameters.  </w:t>
      </w:r>
    </w:p>
    <w:p w14:paraId="754FD88E" w14:textId="254ADA1E" w:rsidR="00B206C3" w:rsidRDefault="00B206C3" w:rsidP="00182B74">
      <w:r>
        <w:t>In our understanding, the network should guarantee resemblance between the indicated reference cell and the target cell in terms of all the related parameters. This means that the UE directly use the parameters of the indicated reference cell on the activation of the target cell to accomplish the procedure real fast and try to acquire those parameters afterwards on the target SCell. The parameters should include not only timing and AGC parameters, but also the QCL relations. This is to say, the network should guarantee QCL relation between target cell scheduling and reference cell reference signals.</w:t>
      </w:r>
    </w:p>
    <w:p w14:paraId="0A032F9E" w14:textId="14A39FD8" w:rsidR="00693D73" w:rsidRPr="006100EE" w:rsidRDefault="00693D73" w:rsidP="00693D73">
      <w:pPr>
        <w:pStyle w:val="Heading2"/>
        <w:tabs>
          <w:tab w:val="num" w:pos="567"/>
        </w:tabs>
        <w:ind w:left="567"/>
      </w:pPr>
      <w:r w:rsidRPr="006100EE">
        <w:t>UE feature groups for SSB-less SCell activation</w:t>
      </w:r>
    </w:p>
    <w:p w14:paraId="4B75AAA8" w14:textId="11238877" w:rsidR="00693D73" w:rsidRPr="006100EE" w:rsidRDefault="00693D73" w:rsidP="00693D73">
      <w:pPr>
        <w:rPr>
          <w:lang w:eastAsia="ja-JP" w:bidi="hi-IN"/>
        </w:rPr>
      </w:pPr>
      <w:r w:rsidRPr="006100EE">
        <w:rPr>
          <w:lang w:eastAsia="ja-JP" w:bidi="hi-IN"/>
        </w:rPr>
        <w:t xml:space="preserve">We propose that RAN4 introduces the UE feature group for optionally supporting SSB-less </w:t>
      </w:r>
      <w:r w:rsidR="00CF1914" w:rsidRPr="006100EE">
        <w:rPr>
          <w:lang w:eastAsia="ja-JP" w:bidi="hi-IN"/>
        </w:rPr>
        <w:t xml:space="preserve">inter-band </w:t>
      </w:r>
      <w:r w:rsidRPr="006100EE">
        <w:rPr>
          <w:lang w:eastAsia="ja-JP" w:bidi="hi-IN"/>
        </w:rPr>
        <w:t xml:space="preserve">SCell activation with capability signalling and </w:t>
      </w:r>
      <w:r w:rsidR="006100EE" w:rsidRPr="006100EE">
        <w:rPr>
          <w:lang w:eastAsia="ja-JP" w:bidi="hi-IN"/>
        </w:rPr>
        <w:t>per feature set (</w:t>
      </w:r>
      <w:r w:rsidRPr="006100EE">
        <w:rPr>
          <w:lang w:eastAsia="ja-JP" w:bidi="hi-IN"/>
        </w:rPr>
        <w:t xml:space="preserve">per </w:t>
      </w:r>
      <w:r w:rsidR="00CF1914" w:rsidRPr="006100EE">
        <w:rPr>
          <w:lang w:eastAsia="ja-JP" w:bidi="hi-IN"/>
        </w:rPr>
        <w:t xml:space="preserve">band per </w:t>
      </w:r>
      <w:r w:rsidRPr="006100EE">
        <w:rPr>
          <w:lang w:eastAsia="ja-JP" w:bidi="hi-IN"/>
        </w:rPr>
        <w:t>band combination</w:t>
      </w:r>
      <w:r w:rsidR="006100EE" w:rsidRPr="006100EE">
        <w:rPr>
          <w:lang w:eastAsia="ja-JP" w:bidi="hi-IN"/>
        </w:rPr>
        <w:t>)</w:t>
      </w:r>
      <w:r w:rsidRPr="006100EE">
        <w:rPr>
          <w:lang w:eastAsia="ja-JP" w:bidi="hi-IN"/>
        </w:rPr>
        <w:t xml:space="preserve"> indication. This new indication should be a separate element/vector from the existing </w:t>
      </w:r>
      <w:r w:rsidRPr="006100EE">
        <w:rPr>
          <w:i/>
          <w:iCs/>
          <w:lang w:eastAsia="ja-JP" w:bidi="hi-IN"/>
        </w:rPr>
        <w:t>SCellwithoutSSB</w:t>
      </w:r>
      <w:r w:rsidRPr="006100EE">
        <w:rPr>
          <w:lang w:eastAsia="ja-JP" w:bidi="hi-IN"/>
        </w:rPr>
        <w:t>.</w:t>
      </w:r>
    </w:p>
    <w:p w14:paraId="34EE6BC6" w14:textId="7E3A87D8" w:rsidR="00E65832" w:rsidRDefault="00693D73" w:rsidP="009861E1">
      <w:pPr>
        <w:rPr>
          <w:lang w:val="en-US"/>
        </w:rPr>
      </w:pPr>
      <w:r w:rsidRPr="006100EE">
        <w:rPr>
          <w:b/>
          <w:bCs/>
          <w:lang w:eastAsia="ja-JP" w:bidi="hi-IN"/>
        </w:rPr>
        <w:t xml:space="preserve">Proposal </w:t>
      </w:r>
      <w:r w:rsidR="00AB0D2A">
        <w:rPr>
          <w:b/>
          <w:bCs/>
          <w:lang w:eastAsia="ja-JP" w:bidi="hi-IN"/>
        </w:rPr>
        <w:t>2</w:t>
      </w:r>
      <w:r w:rsidRPr="006100EE">
        <w:rPr>
          <w:b/>
          <w:bCs/>
          <w:lang w:eastAsia="ja-JP" w:bidi="hi-IN"/>
        </w:rPr>
        <w:t xml:space="preserve">: Introduce the optional with capability signalling per </w:t>
      </w:r>
      <w:r w:rsidR="006100EE" w:rsidRPr="006100EE">
        <w:rPr>
          <w:b/>
          <w:bCs/>
          <w:lang w:eastAsia="ja-JP" w:bidi="hi-IN"/>
        </w:rPr>
        <w:t>FS</w:t>
      </w:r>
      <w:r w:rsidRPr="006100EE">
        <w:rPr>
          <w:b/>
          <w:bCs/>
          <w:lang w:eastAsia="ja-JP" w:bidi="hi-IN"/>
        </w:rPr>
        <w:t xml:space="preserve"> indication of UE supporting </w:t>
      </w:r>
      <w:r w:rsidR="00D2627F">
        <w:rPr>
          <w:b/>
          <w:bCs/>
          <w:lang w:eastAsia="ja-JP" w:bidi="hi-IN"/>
        </w:rPr>
        <w:t xml:space="preserve">inter-band </w:t>
      </w:r>
      <w:r w:rsidRPr="006100EE">
        <w:rPr>
          <w:b/>
          <w:bCs/>
          <w:lang w:eastAsia="ja-JP" w:bidi="hi-IN"/>
        </w:rPr>
        <w:t>SSB-less SCell activation in Rel-18.</w:t>
      </w:r>
      <w:r w:rsidR="00E65832" w:rsidRPr="004778BC">
        <w:rPr>
          <w:lang w:val="en-US"/>
        </w:rPr>
        <w:t xml:space="preserve"> </w:t>
      </w:r>
    </w:p>
    <w:p w14:paraId="39A95BDA" w14:textId="77777777" w:rsidR="000B0577" w:rsidRPr="0071302A" w:rsidRDefault="000B0577" w:rsidP="000B0577">
      <w:pPr>
        <w:jc w:val="both"/>
        <w:rPr>
          <w:lang w:val="en-US"/>
        </w:rPr>
      </w:pPr>
      <w:r>
        <w:rPr>
          <w:lang w:val="en-US"/>
        </w:rPr>
        <w:t>Our views on RAN4-centric features</w:t>
      </w:r>
      <w:r w:rsidRPr="0071302A">
        <w:rPr>
          <w:lang w:val="en-US"/>
        </w:rPr>
        <w:t xml:space="preserve"> </w:t>
      </w:r>
      <w:r>
        <w:rPr>
          <w:lang w:val="en-US"/>
        </w:rPr>
        <w:t xml:space="preserve">for the </w:t>
      </w:r>
      <w:r w:rsidRPr="00E74E3C">
        <w:rPr>
          <w:lang w:val="en-US"/>
        </w:rPr>
        <w:t>Netw_Energy_NR</w:t>
      </w:r>
      <w:r w:rsidRPr="0071302A">
        <w:rPr>
          <w:lang w:val="en-US"/>
        </w:rPr>
        <w:t xml:space="preserve"> WI</w:t>
      </w:r>
      <w:r>
        <w:rPr>
          <w:lang w:val="en-US"/>
        </w:rPr>
        <w:t xml:space="preserve"> </w:t>
      </w:r>
      <w:r w:rsidRPr="0071302A">
        <w:rPr>
          <w:lang w:val="en-US"/>
        </w:rPr>
        <w:t>[</w:t>
      </w:r>
      <w:r>
        <w:rPr>
          <w:lang w:val="en-US"/>
        </w:rPr>
        <w:t xml:space="preserve">WID </w:t>
      </w:r>
      <w:r w:rsidRPr="00E41D63">
        <w:rPr>
          <w:lang w:val="en-US"/>
        </w:rPr>
        <w:t>RP-</w:t>
      </w:r>
      <w:r w:rsidRPr="0071302A">
        <w:rPr>
          <w:lang w:val="en-US"/>
        </w:rPr>
        <w:t>2</w:t>
      </w:r>
      <w:r>
        <w:rPr>
          <w:lang w:val="en-US"/>
        </w:rPr>
        <w:t>30566</w:t>
      </w:r>
      <w:r w:rsidRPr="0071302A">
        <w:rPr>
          <w:lang w:val="en-US"/>
        </w:rPr>
        <w:t>]</w:t>
      </w:r>
      <w:r>
        <w:rPr>
          <w:lang w:val="en-US"/>
        </w:rPr>
        <w:t xml:space="preserve"> </w:t>
      </w:r>
      <w:r w:rsidRPr="0071302A">
        <w:rPr>
          <w:lang w:val="en-US"/>
        </w:rPr>
        <w:t>are</w:t>
      </w:r>
      <w:r>
        <w:rPr>
          <w:lang w:val="en-US"/>
        </w:rPr>
        <w:t xml:space="preserve"> provided below and </w:t>
      </w:r>
      <w:r w:rsidRPr="0071302A">
        <w:rPr>
          <w:lang w:val="en-US"/>
        </w:rPr>
        <w:t xml:space="preserve">in </w:t>
      </w:r>
      <w:r>
        <w:rPr>
          <w:lang w:val="en-US"/>
        </w:rPr>
        <w:fldChar w:fldCharType="begin"/>
      </w:r>
      <w:r>
        <w:rPr>
          <w:lang w:val="en-US"/>
        </w:rPr>
        <w:instrText xml:space="preserve"> REF _Ref149894333 \h </w:instrText>
      </w:r>
      <w:r>
        <w:rPr>
          <w:lang w:val="en-US"/>
        </w:rPr>
      </w:r>
      <w:r w:rsidR="00000000">
        <w:rPr>
          <w:lang w:val="en-US"/>
        </w:rPr>
        <w:fldChar w:fldCharType="separate"/>
      </w:r>
      <w:r>
        <w:rPr>
          <w:lang w:val="en-US"/>
        </w:rPr>
        <w:fldChar w:fldCharType="end"/>
      </w:r>
      <w:r>
        <w:rPr>
          <w:lang w:val="en-US"/>
        </w:rPr>
        <w:fldChar w:fldCharType="begin"/>
      </w:r>
      <w:r>
        <w:rPr>
          <w:lang w:val="en-US"/>
        </w:rPr>
        <w:instrText xml:space="preserve"> REF _Ref149816831 \h </w:instrText>
      </w:r>
      <w:r>
        <w:rPr>
          <w:lang w:val="en-US"/>
        </w:rPr>
      </w:r>
      <w:r>
        <w:rPr>
          <w:lang w:val="en-US"/>
        </w:rPr>
        <w:fldChar w:fldCharType="separate"/>
      </w:r>
      <w:r>
        <w:t xml:space="preserve">Table </w:t>
      </w:r>
      <w:r>
        <w:rPr>
          <w:noProof/>
        </w:rPr>
        <w:t>1</w:t>
      </w:r>
      <w:r>
        <w:rPr>
          <w:lang w:val="en-US"/>
        </w:rPr>
        <w:fldChar w:fldCharType="end"/>
      </w:r>
      <w:r w:rsidRPr="0071302A">
        <w:rPr>
          <w:lang w:val="en-US"/>
        </w:rPr>
        <w:t>.</w:t>
      </w:r>
    </w:p>
    <w:p w14:paraId="31359AA1" w14:textId="77777777" w:rsidR="000B0577" w:rsidRPr="004778BC" w:rsidRDefault="000B0577" w:rsidP="000B0577">
      <w:pPr>
        <w:keepNext/>
        <w:spacing w:before="240"/>
        <w:jc w:val="both"/>
        <w:rPr>
          <w:b/>
          <w:bCs/>
          <w:u w:val="single"/>
          <w:lang w:val="en-US"/>
        </w:rPr>
      </w:pPr>
      <w:r w:rsidRPr="004778BC">
        <w:rPr>
          <w:b/>
          <w:bCs/>
          <w:u w:val="single"/>
          <w:lang w:val="en-US"/>
        </w:rPr>
        <w:t>Obj</w:t>
      </w:r>
      <w:r>
        <w:rPr>
          <w:b/>
          <w:bCs/>
          <w:u w:val="single"/>
          <w:lang w:val="en-US"/>
        </w:rPr>
        <w:t>ective #</w:t>
      </w:r>
      <w:r w:rsidRPr="004778BC">
        <w:rPr>
          <w:b/>
          <w:bCs/>
          <w:u w:val="single"/>
          <w:lang w:val="en-US"/>
        </w:rPr>
        <w:t>1: SSB-less operation for NR FR1 inter-band CA</w:t>
      </w:r>
    </w:p>
    <w:p w14:paraId="7079E38F" w14:textId="77777777" w:rsidR="000B0577" w:rsidRPr="004778BC" w:rsidRDefault="000B0577" w:rsidP="000B0577">
      <w:pPr>
        <w:jc w:val="both"/>
        <w:rPr>
          <w:lang w:val="en-US"/>
        </w:rPr>
      </w:pPr>
      <w:r w:rsidRPr="004778BC">
        <w:rPr>
          <w:lang w:val="en-US"/>
        </w:rPr>
        <w:t>For SSB-less SCell operation RAN4 agreed to introduce a single set of RRM requirements covering different RTD and power imbalance conditions for NR FR1 inter-band CA scenarios. Based on latest RAN4 discussions we propose to introduce a single UE feature to “Support SCell without SS/PBCH block for NR FR1 inter-band [and intra-band non-contiguous] CA”</w:t>
      </w:r>
    </w:p>
    <w:p w14:paraId="0F1BD352" w14:textId="77777777" w:rsidR="000B0577" w:rsidRPr="004778BC" w:rsidRDefault="000B0577" w:rsidP="000B0577">
      <w:pPr>
        <w:pStyle w:val="ListParagraph"/>
        <w:numPr>
          <w:ilvl w:val="0"/>
          <w:numId w:val="38"/>
        </w:numPr>
        <w:contextualSpacing w:val="0"/>
        <w:jc w:val="both"/>
        <w:rPr>
          <w:lang w:val="en-US"/>
        </w:rPr>
      </w:pPr>
      <w:r w:rsidRPr="004778BC">
        <w:rPr>
          <w:lang w:val="en-US"/>
        </w:rPr>
        <w:t>The overall description of the feature is recommended to be aligned as much as possible with the existing Rel-15 RAN1 feature 1-10 “Support SCell without SS/PBCH block” (TR 38.822).</w:t>
      </w:r>
    </w:p>
    <w:p w14:paraId="3986B9B2" w14:textId="77777777" w:rsidR="000B0577" w:rsidRPr="004778BC" w:rsidRDefault="000B0577" w:rsidP="000B0577">
      <w:pPr>
        <w:pStyle w:val="ListParagraph"/>
        <w:numPr>
          <w:ilvl w:val="0"/>
          <w:numId w:val="38"/>
        </w:numPr>
        <w:contextualSpacing w:val="0"/>
        <w:jc w:val="both"/>
        <w:rPr>
          <w:lang w:val="en-US"/>
        </w:rPr>
      </w:pPr>
      <w:r w:rsidRPr="004778BC">
        <w:rPr>
          <w:lang w:val="en-US"/>
        </w:rPr>
        <w:t>No pre-requisite features shall be considered, since the Rel-15 SSB-less SCell feature is appliable to intra-band</w:t>
      </w:r>
      <w:r>
        <w:rPr>
          <w:lang w:val="en-US"/>
        </w:rPr>
        <w:t xml:space="preserve"> </w:t>
      </w:r>
      <w:r w:rsidRPr="004778BC">
        <w:rPr>
          <w:lang w:val="en-US"/>
        </w:rPr>
        <w:t>contiguous CA and the new feature is introduced for inter-band CA.</w:t>
      </w:r>
    </w:p>
    <w:p w14:paraId="008EB164" w14:textId="77777777" w:rsidR="000B0577" w:rsidRPr="004778BC" w:rsidRDefault="000B0577" w:rsidP="000B0577">
      <w:pPr>
        <w:pStyle w:val="ListParagraph"/>
        <w:numPr>
          <w:ilvl w:val="0"/>
          <w:numId w:val="38"/>
        </w:numPr>
        <w:contextualSpacing w:val="0"/>
        <w:jc w:val="both"/>
        <w:rPr>
          <w:lang w:val="en-US"/>
        </w:rPr>
      </w:pPr>
      <w:r w:rsidRPr="004778BC">
        <w:rPr>
          <w:lang w:val="en-US"/>
        </w:rPr>
        <w:t xml:space="preserve">Per-FS capability granularity is suggested same as for existing Rel-15 feature “Support SCell without SS/PBCH block”. </w:t>
      </w:r>
    </w:p>
    <w:p w14:paraId="7D3806FE" w14:textId="77777777" w:rsidR="000B0577" w:rsidRPr="004778BC" w:rsidRDefault="000B0577" w:rsidP="000B0577">
      <w:pPr>
        <w:pStyle w:val="ListParagraph"/>
        <w:numPr>
          <w:ilvl w:val="0"/>
          <w:numId w:val="38"/>
        </w:numPr>
        <w:contextualSpacing w:val="0"/>
        <w:jc w:val="both"/>
        <w:rPr>
          <w:lang w:val="en-US"/>
        </w:rPr>
      </w:pPr>
      <w:r w:rsidRPr="004778BC">
        <w:rPr>
          <w:lang w:val="en-US"/>
        </w:rPr>
        <w:t xml:space="preserve">Additional discussion in RRM session is needed </w:t>
      </w:r>
      <w:r>
        <w:rPr>
          <w:lang w:val="en-US"/>
        </w:rPr>
        <w:t xml:space="preserve">on </w:t>
      </w:r>
      <w:r w:rsidRPr="004778BC">
        <w:rPr>
          <w:lang w:val="en-US"/>
        </w:rPr>
        <w:t xml:space="preserve">whether to introduce additional requirements and to extend the capability to intra-band non-contiguous CA scenario. Meantime, we recommend </w:t>
      </w:r>
      <w:r>
        <w:rPr>
          <w:lang w:val="en-US"/>
        </w:rPr>
        <w:t>defining</w:t>
      </w:r>
      <w:r w:rsidRPr="004778BC">
        <w:rPr>
          <w:lang w:val="en-US"/>
        </w:rPr>
        <w:t xml:space="preserve"> the feature in a generic manner to be applicable to both inter-band and intra-band non-contiguous CA cases.</w:t>
      </w:r>
    </w:p>
    <w:p w14:paraId="69712AEB" w14:textId="77777777" w:rsidR="000B0577" w:rsidRPr="00E74E3C" w:rsidRDefault="000B0577" w:rsidP="000B0577">
      <w:pPr>
        <w:keepNext/>
        <w:spacing w:before="240"/>
        <w:jc w:val="both"/>
        <w:rPr>
          <w:b/>
          <w:bCs/>
          <w:u w:val="single"/>
          <w:lang w:val="en-US"/>
        </w:rPr>
      </w:pPr>
      <w:r>
        <w:rPr>
          <w:b/>
          <w:bCs/>
          <w:u w:val="single"/>
          <w:lang w:val="en-US"/>
        </w:rPr>
        <w:t>Other objectives</w:t>
      </w:r>
    </w:p>
    <w:p w14:paraId="4D2B8A6B" w14:textId="35886D49" w:rsidR="000B0577" w:rsidRPr="009861E1" w:rsidRDefault="000B0577" w:rsidP="000B0577">
      <w:pPr>
        <w:rPr>
          <w:b/>
          <w:bCs/>
          <w:lang w:eastAsia="ja-JP" w:bidi="hi-IN"/>
        </w:rPr>
        <w:sectPr w:rsidR="000B0577" w:rsidRPr="009861E1"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pPr>
      <w:r w:rsidRPr="00E74E3C">
        <w:rPr>
          <w:lang w:val="en-US"/>
        </w:rPr>
        <w:t xml:space="preserve">Other WU objectives are in the scope of other </w:t>
      </w:r>
      <w:proofErr w:type="gramStart"/>
      <w:r w:rsidRPr="00E74E3C">
        <w:rPr>
          <w:lang w:val="en-US"/>
        </w:rPr>
        <w:t>WGs</w:t>
      </w:r>
      <w:proofErr w:type="gramEnd"/>
      <w:r w:rsidRPr="00E74E3C">
        <w:rPr>
          <w:lang w:val="en-US"/>
        </w:rPr>
        <w:t xml:space="preserve"> and we don’t think that any new RAN4-sepecifc features need to be introduced.</w:t>
      </w:r>
    </w:p>
    <w:p w14:paraId="5532CBF9" w14:textId="28124757" w:rsidR="002501AB" w:rsidRPr="00E74E3C" w:rsidRDefault="002501AB" w:rsidP="002501AB">
      <w:pPr>
        <w:jc w:val="both"/>
        <w:rPr>
          <w:lang w:val="en-US"/>
        </w:rPr>
      </w:pPr>
      <w:r w:rsidRPr="00E74E3C">
        <w:rPr>
          <w:lang w:val="en-US"/>
        </w:rPr>
        <w:lastRenderedPageBreak/>
        <w:t xml:space="preserve"> </w:t>
      </w:r>
    </w:p>
    <w:p w14:paraId="18C80459" w14:textId="01DB8F35" w:rsidR="002501AB" w:rsidRPr="0037072D" w:rsidRDefault="002501AB" w:rsidP="002501AB">
      <w:pPr>
        <w:pStyle w:val="Caption"/>
        <w:keepNext/>
        <w:rPr>
          <w:lang w:val="en-US"/>
        </w:rPr>
      </w:pPr>
      <w:bookmarkStart w:id="2" w:name="_Ref149816831"/>
      <w:bookmarkStart w:id="3" w:name="_Ref149894333"/>
      <w:r>
        <w:t xml:space="preserve">Table </w:t>
      </w:r>
      <w:r>
        <w:fldChar w:fldCharType="begin"/>
      </w:r>
      <w:r>
        <w:instrText xml:space="preserve"> SEQ Table \* ARABIC </w:instrText>
      </w:r>
      <w:r>
        <w:fldChar w:fldCharType="separate"/>
      </w:r>
      <w:r>
        <w:rPr>
          <w:noProof/>
        </w:rPr>
        <w:t>1</w:t>
      </w:r>
      <w:r>
        <w:rPr>
          <w:noProof/>
        </w:rPr>
        <w:fldChar w:fldCharType="end"/>
      </w:r>
      <w:bookmarkEnd w:id="2"/>
      <w:r>
        <w:rPr>
          <w:lang w:val="en-US"/>
        </w:rPr>
        <w:t xml:space="preserve">. Rel-18 NR UE features for </w:t>
      </w:r>
      <w:r w:rsidRPr="0037072D">
        <w:rPr>
          <w:lang w:val="en-US"/>
        </w:rPr>
        <w:t>Netw_Energy_NR</w:t>
      </w:r>
      <w:r>
        <w:rPr>
          <w:lang w:val="en-US"/>
        </w:rPr>
        <w:t xml:space="preserve"> WI.</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501AB" w14:paraId="3243A909" w14:textId="77777777" w:rsidTr="00040EC8">
        <w:trPr>
          <w:trHeight w:val="20"/>
        </w:trPr>
        <w:tc>
          <w:tcPr>
            <w:tcW w:w="1129" w:type="dxa"/>
            <w:shd w:val="clear" w:color="auto" w:fill="auto"/>
          </w:tcPr>
          <w:p w14:paraId="4C5B8B98"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F072813"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099434A"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2B70E08" w14:textId="77777777" w:rsidR="002501AB" w:rsidRDefault="002501AB" w:rsidP="00040EC8">
            <w:pPr>
              <w:keepNext/>
              <w:keepLines/>
              <w:jc w:val="center"/>
              <w:rPr>
                <w:rFonts w:ascii="Arial" w:hAnsi="Arial" w:cs="Arial"/>
                <w:b/>
                <w:color w:val="000000"/>
                <w:sz w:val="18"/>
                <w:lang w:eastAsia="zh-CN"/>
              </w:rPr>
            </w:pPr>
            <w:r>
              <w:rPr>
                <w:rFonts w:ascii="Arial" w:eastAsia="Times New Roman" w:hAnsi="Arial" w:cs="Arial"/>
                <w:b/>
                <w:color w:val="000000"/>
                <w:sz w:val="18"/>
              </w:rPr>
              <w:t>Components</w:t>
            </w:r>
          </w:p>
          <w:p w14:paraId="13A1F977" w14:textId="77777777" w:rsidR="002501AB" w:rsidRDefault="002501AB" w:rsidP="00040EC8">
            <w:pPr>
              <w:keepNext/>
              <w:keepLines/>
              <w:jc w:val="center"/>
              <w:rPr>
                <w:rFonts w:ascii="Arial" w:hAnsi="Arial" w:cs="Arial"/>
                <w:b/>
                <w:color w:val="000000"/>
                <w:sz w:val="18"/>
                <w:lang w:eastAsia="zh-CN"/>
              </w:rPr>
            </w:pPr>
          </w:p>
        </w:tc>
        <w:tc>
          <w:tcPr>
            <w:tcW w:w="1560" w:type="dxa"/>
            <w:shd w:val="clear" w:color="auto" w:fill="auto"/>
          </w:tcPr>
          <w:p w14:paraId="47EBFDD2"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3752A3B"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0E1FFCA" w14:textId="77777777" w:rsidR="002501AB" w:rsidRDefault="002501AB" w:rsidP="00040EC8">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91EA080" w14:textId="77777777" w:rsidR="002501AB" w:rsidRDefault="002501AB" w:rsidP="00040EC8">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27005094" w14:textId="77777777" w:rsidR="002501AB" w:rsidRDefault="002501AB" w:rsidP="00040EC8">
            <w:pPr>
              <w:keepNext/>
              <w:keepLines/>
              <w:rPr>
                <w:rFonts w:ascii="Arial" w:hAnsi="Arial" w:cs="Arial"/>
                <w:b/>
                <w:color w:val="000000"/>
                <w:sz w:val="18"/>
              </w:rPr>
            </w:pPr>
            <w:r>
              <w:rPr>
                <w:rFonts w:ascii="Arial" w:hAnsi="Arial" w:cs="Arial"/>
                <w:b/>
                <w:color w:val="000000"/>
                <w:sz w:val="18"/>
              </w:rPr>
              <w:t>Type</w:t>
            </w:r>
          </w:p>
          <w:p w14:paraId="5220095E" w14:textId="77777777" w:rsidR="002501AB" w:rsidRDefault="002501AB" w:rsidP="00040EC8">
            <w:pPr>
              <w:keepNext/>
              <w:keepLines/>
              <w:rPr>
                <w:rFonts w:ascii="Arial" w:hAnsi="Arial" w:cs="Arial"/>
                <w:b/>
                <w:color w:val="000000"/>
                <w:sz w:val="18"/>
              </w:rPr>
            </w:pPr>
          </w:p>
        </w:tc>
        <w:tc>
          <w:tcPr>
            <w:tcW w:w="992" w:type="dxa"/>
            <w:shd w:val="clear" w:color="auto" w:fill="auto"/>
          </w:tcPr>
          <w:p w14:paraId="32143F8E"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DD6ED59"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5C431A"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3871921"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0DBFB47" w14:textId="77777777" w:rsidR="002501AB" w:rsidRDefault="002501AB" w:rsidP="00040EC8">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2501AB" w14:paraId="43642C3A" w14:textId="77777777" w:rsidTr="00040EC8">
        <w:trPr>
          <w:trHeight w:val="363"/>
        </w:trPr>
        <w:tc>
          <w:tcPr>
            <w:tcW w:w="1129" w:type="dxa"/>
            <w:shd w:val="clear" w:color="auto" w:fill="auto"/>
          </w:tcPr>
          <w:p w14:paraId="68B89ABB" w14:textId="77777777" w:rsidR="002501AB" w:rsidRDefault="002501AB" w:rsidP="00040EC8">
            <w:pPr>
              <w:snapToGrid w:val="0"/>
              <w:rPr>
                <w:rFonts w:ascii="Arial" w:hAnsi="Arial" w:cs="Arial"/>
                <w:color w:val="000000"/>
                <w:sz w:val="18"/>
                <w:lang w:val="en-US" w:eastAsia="zh-CN"/>
              </w:rPr>
            </w:pPr>
            <w:r>
              <w:rPr>
                <w:rFonts w:ascii="Arial" w:hAnsi="Arial" w:cs="Arial"/>
                <w:color w:val="000000"/>
                <w:sz w:val="18"/>
                <w:lang w:val="en-US" w:eastAsia="zh-CN"/>
              </w:rPr>
              <w:t>42.</w:t>
            </w:r>
          </w:p>
          <w:p w14:paraId="0D14D752" w14:textId="77777777" w:rsidR="002501AB" w:rsidRPr="00CA6896" w:rsidRDefault="002501AB" w:rsidP="00040EC8">
            <w:pPr>
              <w:keepNext/>
              <w:keepLines/>
              <w:tabs>
                <w:tab w:val="left" w:pos="426"/>
              </w:tabs>
              <w:jc w:val="both"/>
              <w:outlineLvl w:val="0"/>
              <w:rPr>
                <w:rFonts w:ascii="Arial" w:eastAsia="Batang" w:hAnsi="Arial" w:cs="Arial"/>
                <w:sz w:val="28"/>
                <w:szCs w:val="28"/>
                <w:lang w:val="en-US" w:eastAsia="ko-KR"/>
              </w:rPr>
            </w:pPr>
            <w:r w:rsidRPr="00376830">
              <w:rPr>
                <w:rFonts w:ascii="Arial" w:eastAsiaTheme="minorEastAsia" w:hAnsi="Arial" w:cs="Arial"/>
                <w:sz w:val="18"/>
                <w:szCs w:val="18"/>
              </w:rPr>
              <w:t>Netw_Energy_NR</w:t>
            </w:r>
          </w:p>
        </w:tc>
        <w:tc>
          <w:tcPr>
            <w:tcW w:w="709" w:type="dxa"/>
            <w:shd w:val="clear" w:color="auto" w:fill="auto"/>
          </w:tcPr>
          <w:p w14:paraId="73952107" w14:textId="77777777" w:rsidR="002501AB" w:rsidRPr="00192B25" w:rsidRDefault="002501AB" w:rsidP="00040EC8">
            <w:pPr>
              <w:keepNext/>
              <w:keepLines/>
              <w:rPr>
                <w:rFonts w:ascii="Arial" w:eastAsiaTheme="minorEastAsia" w:hAnsi="Arial" w:cs="Arial"/>
                <w:bCs/>
                <w:color w:val="000000"/>
                <w:sz w:val="18"/>
                <w:lang w:eastAsia="zh-CN"/>
              </w:rPr>
            </w:pPr>
            <w:r>
              <w:rPr>
                <w:rFonts w:ascii="Arial" w:eastAsiaTheme="minorEastAsia" w:hAnsi="Arial" w:cs="Arial"/>
                <w:bCs/>
                <w:color w:val="000000"/>
                <w:sz w:val="18"/>
                <w:lang w:eastAsia="zh-CN"/>
              </w:rPr>
              <w:t>42</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1</w:t>
            </w:r>
          </w:p>
        </w:tc>
        <w:tc>
          <w:tcPr>
            <w:tcW w:w="1559" w:type="dxa"/>
            <w:shd w:val="clear" w:color="auto" w:fill="auto"/>
          </w:tcPr>
          <w:p w14:paraId="3B210B3F" w14:textId="77777777" w:rsidR="002501AB" w:rsidRPr="00C1640B" w:rsidRDefault="002501AB" w:rsidP="00040EC8">
            <w:pPr>
              <w:keepNext/>
              <w:keepLines/>
              <w:rPr>
                <w:rFonts w:ascii="Arial" w:eastAsia="Times New Roman" w:hAnsi="Arial" w:cs="Arial"/>
                <w:bCs/>
                <w:color w:val="000000"/>
                <w:sz w:val="18"/>
              </w:rPr>
            </w:pPr>
            <w:r w:rsidRPr="00536600">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r w:rsidRPr="00536600">
              <w:rPr>
                <w:rFonts w:ascii="Arial" w:eastAsia="Times New Roman" w:hAnsi="Arial" w:cs="Arial"/>
                <w:bCs/>
                <w:color w:val="000000"/>
                <w:sz w:val="18"/>
              </w:rPr>
              <w:t>SCell without SS/PBCH block</w:t>
            </w:r>
            <w:r w:rsidRPr="00C1640B">
              <w:rPr>
                <w:rFonts w:ascii="Arial" w:eastAsia="Times New Roman" w:hAnsi="Arial" w:cs="Arial"/>
                <w:bCs/>
                <w:color w:val="000000"/>
                <w:sz w:val="18"/>
              </w:rPr>
              <w:t xml:space="preserve"> for </w:t>
            </w:r>
            <w:r>
              <w:rPr>
                <w:rFonts w:ascii="Arial" w:eastAsia="Times New Roman" w:hAnsi="Arial" w:cs="Arial"/>
                <w:bCs/>
                <w:color w:val="000000"/>
                <w:sz w:val="18"/>
              </w:rPr>
              <w:t xml:space="preserve">NR FR1 </w:t>
            </w:r>
            <w:r w:rsidRPr="00C1640B">
              <w:rPr>
                <w:rFonts w:ascii="Arial" w:eastAsia="Times New Roman" w:hAnsi="Arial" w:cs="Arial"/>
                <w:bCs/>
                <w:color w:val="000000"/>
                <w:sz w:val="18"/>
              </w:rPr>
              <w:t xml:space="preserve">inter-band </w:t>
            </w:r>
            <w:r>
              <w:rPr>
                <w:rFonts w:ascii="Arial" w:eastAsia="Times New Roman" w:hAnsi="Arial" w:cs="Arial"/>
                <w:bCs/>
                <w:color w:val="000000"/>
                <w:sz w:val="18"/>
              </w:rPr>
              <w:t xml:space="preserve">[and intra-band non-contiguous] </w:t>
            </w:r>
            <w:r w:rsidRPr="00C1640B">
              <w:rPr>
                <w:rFonts w:ascii="Arial" w:eastAsia="Times New Roman" w:hAnsi="Arial" w:cs="Arial"/>
                <w:bCs/>
                <w:color w:val="000000"/>
                <w:sz w:val="18"/>
              </w:rPr>
              <w:t>CA</w:t>
            </w:r>
          </w:p>
        </w:tc>
        <w:tc>
          <w:tcPr>
            <w:tcW w:w="5103" w:type="dxa"/>
            <w:shd w:val="clear" w:color="auto" w:fill="auto"/>
          </w:tcPr>
          <w:p w14:paraId="7DB9338B" w14:textId="77777777" w:rsidR="002501AB" w:rsidRPr="00987A73" w:rsidRDefault="002501AB" w:rsidP="00040EC8">
            <w:pPr>
              <w:keepNext/>
              <w:keepLines/>
              <w:rPr>
                <w:rFonts w:ascii="Arial" w:eastAsia="Times New Roman" w:hAnsi="Arial" w:cs="Arial"/>
                <w:bCs/>
                <w:color w:val="000000"/>
                <w:sz w:val="18"/>
              </w:rPr>
            </w:pPr>
            <w:r>
              <w:rPr>
                <w:rFonts w:ascii="Arial" w:eastAsia="Times New Roman" w:hAnsi="Arial" w:cs="Arial"/>
                <w:bCs/>
                <w:color w:val="000000"/>
                <w:sz w:val="18"/>
              </w:rPr>
              <w:t xml:space="preserve">1. </w:t>
            </w:r>
            <w:r w:rsidRPr="00A166A7">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r w:rsidRPr="00A166A7">
              <w:rPr>
                <w:rFonts w:ascii="Arial" w:eastAsia="Times New Roman" w:hAnsi="Arial" w:cs="Arial"/>
                <w:bCs/>
                <w:color w:val="000000"/>
                <w:sz w:val="18"/>
              </w:rPr>
              <w:t>SCell without SS/PBCH block</w:t>
            </w:r>
            <w:r>
              <w:rPr>
                <w:rFonts w:ascii="Arial" w:eastAsia="Times New Roman" w:hAnsi="Arial" w:cs="Arial"/>
                <w:bCs/>
                <w:color w:val="000000"/>
                <w:sz w:val="18"/>
              </w:rPr>
              <w:t xml:space="preserve"> </w:t>
            </w:r>
            <w:r w:rsidRPr="00D54A81">
              <w:rPr>
                <w:rFonts w:ascii="Arial" w:eastAsia="Times New Roman" w:hAnsi="Arial" w:cs="Arial"/>
                <w:bCs/>
                <w:color w:val="000000"/>
                <w:sz w:val="18"/>
              </w:rPr>
              <w:t>for</w:t>
            </w:r>
            <w:r>
              <w:rPr>
                <w:rFonts w:ascii="Arial" w:eastAsia="Times New Roman" w:hAnsi="Arial" w:cs="Arial"/>
                <w:bCs/>
                <w:color w:val="000000"/>
                <w:sz w:val="18"/>
              </w:rPr>
              <w:t xml:space="preserve"> NR FR1 inter-band [and intra-band non-contiguous] CA</w:t>
            </w:r>
          </w:p>
        </w:tc>
        <w:tc>
          <w:tcPr>
            <w:tcW w:w="1560" w:type="dxa"/>
            <w:shd w:val="clear" w:color="auto" w:fill="auto"/>
          </w:tcPr>
          <w:p w14:paraId="44FB5C86" w14:textId="77777777" w:rsidR="002501AB" w:rsidRPr="0080561D" w:rsidRDefault="002501AB" w:rsidP="00040EC8">
            <w:pPr>
              <w:keepNext/>
              <w:keepLines/>
              <w:jc w:val="center"/>
              <w:rPr>
                <w:rFonts w:ascii="Arial" w:eastAsia="Times New Roman" w:hAnsi="Arial" w:cs="Arial"/>
                <w:bCs/>
                <w:color w:val="000000"/>
                <w:sz w:val="18"/>
              </w:rPr>
            </w:pPr>
            <w:r>
              <w:rPr>
                <w:rFonts w:ascii="Arial" w:eastAsia="Times New Roman" w:hAnsi="Arial" w:cs="Arial"/>
                <w:bCs/>
                <w:color w:val="000000"/>
                <w:sz w:val="18"/>
              </w:rPr>
              <w:t xml:space="preserve">No </w:t>
            </w:r>
          </w:p>
        </w:tc>
        <w:tc>
          <w:tcPr>
            <w:tcW w:w="1134" w:type="dxa"/>
            <w:shd w:val="clear" w:color="auto" w:fill="auto"/>
          </w:tcPr>
          <w:p w14:paraId="7A19526C"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Yes</w:t>
            </w:r>
          </w:p>
        </w:tc>
        <w:tc>
          <w:tcPr>
            <w:tcW w:w="1559" w:type="dxa"/>
            <w:shd w:val="clear" w:color="auto" w:fill="auto"/>
          </w:tcPr>
          <w:p w14:paraId="387BFFF5" w14:textId="77777777" w:rsidR="002501AB" w:rsidRPr="00EA1785" w:rsidRDefault="002501AB" w:rsidP="00040EC8">
            <w:pPr>
              <w:keepNext/>
              <w:keepLines/>
              <w:jc w:val="center"/>
              <w:rPr>
                <w:rFonts w:ascii="Arial" w:eastAsia="Gulim" w:hAnsi="Arial" w:cs="Arial"/>
                <w:bCs/>
                <w:color w:val="000000"/>
                <w:sz w:val="18"/>
              </w:rPr>
            </w:pPr>
            <w:r w:rsidRPr="00EA1785">
              <w:rPr>
                <w:rFonts w:ascii="Arial" w:eastAsia="Gulim" w:hAnsi="Arial" w:cs="Arial"/>
                <w:bCs/>
                <w:color w:val="000000"/>
                <w:sz w:val="18"/>
              </w:rPr>
              <w:t>N</w:t>
            </w:r>
            <w:r>
              <w:rPr>
                <w:rFonts w:ascii="Arial" w:eastAsia="Gulim" w:hAnsi="Arial" w:cs="Arial"/>
                <w:bCs/>
                <w:color w:val="000000"/>
                <w:sz w:val="18"/>
              </w:rPr>
              <w:t>/</w:t>
            </w:r>
            <w:r w:rsidRPr="00EA1785">
              <w:rPr>
                <w:rFonts w:ascii="Arial" w:eastAsia="Gulim" w:hAnsi="Arial" w:cs="Arial"/>
                <w:bCs/>
                <w:color w:val="000000"/>
                <w:sz w:val="18"/>
              </w:rPr>
              <w:t>A</w:t>
            </w:r>
          </w:p>
        </w:tc>
        <w:tc>
          <w:tcPr>
            <w:tcW w:w="1417" w:type="dxa"/>
          </w:tcPr>
          <w:p w14:paraId="08172443" w14:textId="77777777" w:rsidR="002501AB" w:rsidRPr="00EA1785" w:rsidRDefault="002501AB" w:rsidP="00040EC8">
            <w:pPr>
              <w:keepNext/>
              <w:keepLines/>
              <w:rPr>
                <w:rFonts w:ascii="Arial" w:hAnsi="Arial" w:cs="Arial"/>
                <w:bCs/>
                <w:color w:val="000000"/>
                <w:sz w:val="18"/>
              </w:rPr>
            </w:pPr>
            <w:r w:rsidRPr="00EA1785">
              <w:rPr>
                <w:rFonts w:ascii="Arial" w:eastAsia="Times New Roman" w:hAnsi="Arial" w:cs="Arial"/>
                <w:bCs/>
                <w:color w:val="000000"/>
                <w:sz w:val="18"/>
              </w:rPr>
              <w:t xml:space="preserve">SSB-less operation for NR FR1 inter-band </w:t>
            </w:r>
            <w:r>
              <w:rPr>
                <w:rFonts w:ascii="Arial" w:eastAsia="Times New Roman" w:hAnsi="Arial" w:cs="Arial"/>
                <w:bCs/>
                <w:color w:val="000000"/>
                <w:sz w:val="18"/>
              </w:rPr>
              <w:t xml:space="preserve">and [intra-band non-contiguous] </w:t>
            </w:r>
            <w:r w:rsidRPr="00EA1785">
              <w:rPr>
                <w:rFonts w:ascii="Arial" w:eastAsia="Times New Roman" w:hAnsi="Arial" w:cs="Arial"/>
                <w:bCs/>
                <w:color w:val="000000"/>
                <w:sz w:val="18"/>
              </w:rPr>
              <w:t>CA scenarios is not supported</w:t>
            </w:r>
          </w:p>
        </w:tc>
        <w:tc>
          <w:tcPr>
            <w:tcW w:w="1276" w:type="dxa"/>
            <w:shd w:val="clear" w:color="auto" w:fill="auto"/>
          </w:tcPr>
          <w:p w14:paraId="7AD6D209" w14:textId="77777777" w:rsidR="002501AB" w:rsidRPr="00EA1785" w:rsidRDefault="002501AB" w:rsidP="00040EC8">
            <w:pPr>
              <w:keepNext/>
              <w:keepLines/>
              <w:rPr>
                <w:rFonts w:ascii="Arial" w:hAnsi="Arial" w:cs="Arial"/>
                <w:bCs/>
                <w:color w:val="000000"/>
                <w:sz w:val="18"/>
              </w:rPr>
            </w:pPr>
            <w:r>
              <w:rPr>
                <w:rFonts w:ascii="Arial" w:hAnsi="Arial" w:cs="Arial"/>
                <w:bCs/>
                <w:color w:val="000000"/>
                <w:sz w:val="18"/>
              </w:rPr>
              <w:t>Per FS</w:t>
            </w:r>
          </w:p>
        </w:tc>
        <w:tc>
          <w:tcPr>
            <w:tcW w:w="992" w:type="dxa"/>
            <w:shd w:val="clear" w:color="auto" w:fill="auto"/>
          </w:tcPr>
          <w:p w14:paraId="1E44B036"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No</w:t>
            </w:r>
          </w:p>
        </w:tc>
        <w:tc>
          <w:tcPr>
            <w:tcW w:w="993" w:type="dxa"/>
            <w:shd w:val="clear" w:color="auto" w:fill="auto"/>
          </w:tcPr>
          <w:p w14:paraId="4C28D4B8"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FR1 only</w:t>
            </w:r>
          </w:p>
        </w:tc>
        <w:tc>
          <w:tcPr>
            <w:tcW w:w="1842" w:type="dxa"/>
          </w:tcPr>
          <w:p w14:paraId="55756D29" w14:textId="77777777" w:rsidR="002501AB" w:rsidRPr="00EA1785" w:rsidRDefault="002501AB" w:rsidP="00040EC8">
            <w:pPr>
              <w:keepNext/>
              <w:keepLines/>
              <w:jc w:val="center"/>
              <w:rPr>
                <w:rFonts w:ascii="Arial" w:eastAsia="Times New Roman" w:hAnsi="Arial" w:cs="Arial"/>
                <w:bCs/>
                <w:color w:val="000000"/>
                <w:sz w:val="18"/>
              </w:rPr>
            </w:pPr>
            <w:r w:rsidRPr="00400FCA">
              <w:rPr>
                <w:rFonts w:ascii="Arial" w:eastAsia="Times New Roman" w:hAnsi="Arial" w:cs="Arial"/>
                <w:bCs/>
                <w:color w:val="000000"/>
                <w:sz w:val="18"/>
              </w:rPr>
              <w:t>N/A</w:t>
            </w:r>
          </w:p>
        </w:tc>
        <w:tc>
          <w:tcPr>
            <w:tcW w:w="1843" w:type="dxa"/>
            <w:shd w:val="clear" w:color="auto" w:fill="auto"/>
          </w:tcPr>
          <w:p w14:paraId="14E9A154" w14:textId="77777777" w:rsidR="002501AB" w:rsidRDefault="002501AB" w:rsidP="00040EC8">
            <w:pPr>
              <w:keepNext/>
              <w:keepLines/>
              <w:rPr>
                <w:rFonts w:ascii="Arial" w:eastAsia="Times New Roman" w:hAnsi="Arial" w:cs="Arial"/>
                <w:bCs/>
                <w:color w:val="000000"/>
                <w:sz w:val="18"/>
              </w:rPr>
            </w:pPr>
            <w:r w:rsidRPr="00EA1785">
              <w:rPr>
                <w:rFonts w:ascii="Arial" w:eastAsia="Times New Roman" w:hAnsi="Arial" w:cs="Arial"/>
                <w:bCs/>
                <w:color w:val="000000"/>
                <w:sz w:val="18"/>
              </w:rPr>
              <w:t>Component 1</w:t>
            </w:r>
            <w:r>
              <w:rPr>
                <w:rFonts w:ascii="Arial" w:eastAsia="Times New Roman" w:hAnsi="Arial" w:cs="Arial"/>
                <w:bCs/>
                <w:color w:val="000000"/>
                <w:sz w:val="18"/>
              </w:rPr>
              <w:t xml:space="preserve">: </w:t>
            </w:r>
            <w:r w:rsidRPr="004F44E5">
              <w:rPr>
                <w:rFonts w:ascii="Arial" w:eastAsia="Times New Roman" w:hAnsi="Arial" w:cs="Arial"/>
                <w:bCs/>
                <w:color w:val="000000"/>
                <w:sz w:val="18"/>
              </w:rPr>
              <w:t>Whether or not UE is able to use SS/PBCH block from other Cells for time/frequency synchronization of SCell without SS/PBCH block</w:t>
            </w:r>
            <w:r>
              <w:rPr>
                <w:rFonts w:ascii="Arial" w:eastAsia="Times New Roman" w:hAnsi="Arial" w:cs="Arial"/>
                <w:bCs/>
                <w:color w:val="000000"/>
                <w:sz w:val="18"/>
              </w:rPr>
              <w:t>.</w:t>
            </w:r>
          </w:p>
          <w:p w14:paraId="61DEC86A" w14:textId="77777777" w:rsidR="002501AB" w:rsidRPr="00EA1785" w:rsidRDefault="002501AB" w:rsidP="00040EC8">
            <w:pPr>
              <w:keepNext/>
              <w:keepLines/>
              <w:rPr>
                <w:rFonts w:ascii="Arial" w:eastAsia="Times New Roman" w:hAnsi="Arial" w:cs="Arial"/>
                <w:bCs/>
                <w:color w:val="000000"/>
                <w:sz w:val="18"/>
              </w:rPr>
            </w:pPr>
          </w:p>
        </w:tc>
        <w:tc>
          <w:tcPr>
            <w:tcW w:w="1276" w:type="dxa"/>
            <w:shd w:val="clear" w:color="auto" w:fill="auto"/>
          </w:tcPr>
          <w:p w14:paraId="3ABB6D7D" w14:textId="77777777" w:rsidR="002501AB" w:rsidRPr="00EA1785" w:rsidRDefault="002501AB" w:rsidP="00040EC8">
            <w:pPr>
              <w:keepNext/>
              <w:keepLines/>
              <w:jc w:val="center"/>
              <w:rPr>
                <w:rFonts w:ascii="Arial" w:eastAsia="Times New Roman" w:hAnsi="Arial" w:cs="Arial"/>
                <w:bCs/>
                <w:color w:val="000000"/>
                <w:sz w:val="18"/>
              </w:rPr>
            </w:pPr>
            <w:r w:rsidRPr="00EA1785">
              <w:rPr>
                <w:rFonts w:ascii="Arial" w:eastAsia="Times New Roman" w:hAnsi="Arial" w:cs="Arial"/>
                <w:bCs/>
                <w:color w:val="000000"/>
                <w:sz w:val="18"/>
              </w:rPr>
              <w:t>Optional</w:t>
            </w:r>
            <w:r>
              <w:rPr>
                <w:rFonts w:ascii="Arial" w:eastAsia="Times New Roman" w:hAnsi="Arial" w:cs="Arial"/>
                <w:bCs/>
                <w:color w:val="000000"/>
                <w:sz w:val="18"/>
              </w:rPr>
              <w:t xml:space="preserve"> with capability signalling</w:t>
            </w:r>
          </w:p>
        </w:tc>
      </w:tr>
    </w:tbl>
    <w:p w14:paraId="63A973D9" w14:textId="77777777" w:rsidR="002C4D71" w:rsidRDefault="002C4D71" w:rsidP="00693D73">
      <w:pPr>
        <w:rPr>
          <w:b/>
          <w:bCs/>
          <w:lang w:eastAsia="ja-JP" w:bidi="hi-IN"/>
        </w:rPr>
        <w:sectPr w:rsidR="002C4D71" w:rsidSect="006674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11" w:h="16838" w:orient="landscape" w:code="8"/>
          <w:pgMar w:top="1138" w:right="1267" w:bottom="1138" w:left="994" w:header="619" w:footer="562" w:gutter="0"/>
          <w:cols w:space="720"/>
          <w:docGrid w:linePitch="272"/>
        </w:sectPr>
      </w:pPr>
    </w:p>
    <w:p w14:paraId="6725F81F" w14:textId="0533B546" w:rsidR="00060600" w:rsidRDefault="00D8735B" w:rsidP="004B191B">
      <w:pPr>
        <w:pStyle w:val="Heading2"/>
        <w:tabs>
          <w:tab w:val="num" w:pos="567"/>
        </w:tabs>
        <w:ind w:left="567"/>
      </w:pPr>
      <w:r>
        <w:lastRenderedPageBreak/>
        <w:t>SSB-less SCell in intra-band non-contiguous CA</w:t>
      </w:r>
    </w:p>
    <w:p w14:paraId="048135C8" w14:textId="206D2F9A" w:rsidR="00B75C8C" w:rsidRDefault="00B75C8C" w:rsidP="00060600">
      <w:r>
        <w:t>There is no reason to leave intra-band non-contiguous CA deployment out of scope in terms of discussions on the activation requirements for SSB-less SCell.</w:t>
      </w:r>
    </w:p>
    <w:p w14:paraId="486F3690" w14:textId="7C054B1C" w:rsidR="00B75C8C" w:rsidRDefault="00B75C8C" w:rsidP="00060600">
      <w:r>
        <w:t>At least all the requirements specified for inter-band CA can be applied to intra-band non-contiguous CA. We propose that together with the specification of inter-band cases, RAN4 specifies requirements also for intra-band non-contiguous CA.</w:t>
      </w:r>
    </w:p>
    <w:p w14:paraId="47942430" w14:textId="23EB9984" w:rsidR="00B75C8C" w:rsidRDefault="00B75C8C" w:rsidP="00060600">
      <w:pPr>
        <w:rPr>
          <w:b/>
          <w:bCs/>
        </w:rPr>
      </w:pPr>
      <w:r w:rsidRPr="00B75C8C">
        <w:rPr>
          <w:b/>
          <w:bCs/>
        </w:rPr>
        <w:t>Proposal</w:t>
      </w:r>
      <w:r w:rsidR="00977FC2">
        <w:rPr>
          <w:b/>
          <w:bCs/>
        </w:rPr>
        <w:t xml:space="preserve"> </w:t>
      </w:r>
      <w:r w:rsidR="006773C1">
        <w:rPr>
          <w:b/>
          <w:bCs/>
        </w:rPr>
        <w:t>3</w:t>
      </w:r>
      <w:r w:rsidRPr="00B75C8C">
        <w:rPr>
          <w:b/>
          <w:bCs/>
        </w:rPr>
        <w:t>: Together with the specification of inter-band cases, RAN4 specifies requirements also for intra-band non-contiguous CA.</w:t>
      </w:r>
    </w:p>
    <w:p w14:paraId="4EC9F01E" w14:textId="5087EB33" w:rsidR="00C65043" w:rsidRDefault="00C65043" w:rsidP="00060600">
      <w:pPr>
        <w:rPr>
          <w:b/>
          <w:bCs/>
        </w:rPr>
      </w:pPr>
      <w:r>
        <w:rPr>
          <w:b/>
          <w:bCs/>
        </w:rPr>
        <w:t>Proposal</w:t>
      </w:r>
      <w:r w:rsidR="00977FC2">
        <w:rPr>
          <w:b/>
          <w:bCs/>
        </w:rPr>
        <w:t xml:space="preserve"> </w:t>
      </w:r>
      <w:r w:rsidR="006773C1">
        <w:rPr>
          <w:b/>
          <w:bCs/>
        </w:rPr>
        <w:t>4</w:t>
      </w:r>
      <w:r>
        <w:rPr>
          <w:b/>
          <w:bCs/>
        </w:rPr>
        <w:t>: Activation requirements specified for inter-band</w:t>
      </w:r>
      <w:r w:rsidR="00F71E6D">
        <w:rPr>
          <w:b/>
          <w:bCs/>
        </w:rPr>
        <w:t xml:space="preserve"> CA</w:t>
      </w:r>
      <w:r>
        <w:rPr>
          <w:b/>
          <w:bCs/>
        </w:rPr>
        <w:t xml:space="preserve"> SSB-less SCell also apply to intra-band non-contiguous </w:t>
      </w:r>
      <w:r w:rsidR="00F71E6D">
        <w:rPr>
          <w:b/>
          <w:bCs/>
        </w:rPr>
        <w:t xml:space="preserve">CA </w:t>
      </w:r>
      <w:r>
        <w:rPr>
          <w:b/>
          <w:bCs/>
        </w:rPr>
        <w:t>SSB-less SCell activation.</w:t>
      </w:r>
    </w:p>
    <w:p w14:paraId="53808822" w14:textId="55C87B09" w:rsidR="006773C1" w:rsidRPr="006773C1" w:rsidRDefault="006773C1" w:rsidP="006773C1">
      <w:r w:rsidRPr="006773C1">
        <w:t>A company CR is submitted to implement proposal 3</w:t>
      </w:r>
      <w:r>
        <w:t xml:space="preserve"> and 4</w:t>
      </w:r>
      <w:r w:rsidRPr="006773C1">
        <w:t>.</w:t>
      </w:r>
    </w:p>
    <w:p w14:paraId="695741B4" w14:textId="25E773CA" w:rsidR="006773C1" w:rsidRPr="00B75C8C" w:rsidRDefault="006773C1" w:rsidP="00060600">
      <w:pPr>
        <w:rPr>
          <w:b/>
          <w:bCs/>
        </w:rPr>
      </w:pPr>
      <w:r>
        <w:rPr>
          <w:b/>
          <w:bCs/>
        </w:rPr>
        <w:t xml:space="preserve">Proposal 5: </w:t>
      </w:r>
      <w:r w:rsidR="00E7365F">
        <w:rPr>
          <w:b/>
          <w:bCs/>
        </w:rPr>
        <w:t>As</w:t>
      </w:r>
      <w:r>
        <w:rPr>
          <w:b/>
          <w:bCs/>
        </w:rPr>
        <w:t xml:space="preserve"> with inter-band CA, the UE uses the same capability signaling and feature group to indicate the capability for SSB-less intra-band non-contiguous CA activation requirements.</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4F5CF616" w14:textId="77777777" w:rsidR="006773C1" w:rsidRPr="00AB0D2A" w:rsidRDefault="006773C1" w:rsidP="006773C1">
      <w:pPr>
        <w:rPr>
          <w:b/>
          <w:bCs/>
        </w:rPr>
      </w:pPr>
      <w:r w:rsidRPr="00AB0D2A">
        <w:rPr>
          <w:b/>
          <w:bCs/>
        </w:rPr>
        <w:t>Proposal 1: UE is expected to select the best suitable reference cell among multiple QCL source cells when there are multiple QCL source cells and reference cell is not explicitly configured to the UE.</w:t>
      </w:r>
    </w:p>
    <w:p w14:paraId="3C598DCC" w14:textId="77777777" w:rsidR="006773C1" w:rsidRDefault="006773C1" w:rsidP="006773C1">
      <w:pPr>
        <w:rPr>
          <w:lang w:val="en-US"/>
        </w:rPr>
      </w:pPr>
      <w:r w:rsidRPr="006100EE">
        <w:rPr>
          <w:b/>
          <w:bCs/>
          <w:lang w:eastAsia="ja-JP" w:bidi="hi-IN"/>
        </w:rPr>
        <w:t xml:space="preserve">Proposal </w:t>
      </w:r>
      <w:r>
        <w:rPr>
          <w:b/>
          <w:bCs/>
          <w:lang w:eastAsia="ja-JP" w:bidi="hi-IN"/>
        </w:rPr>
        <w:t>2</w:t>
      </w:r>
      <w:r w:rsidRPr="006100EE">
        <w:rPr>
          <w:b/>
          <w:bCs/>
          <w:lang w:eastAsia="ja-JP" w:bidi="hi-IN"/>
        </w:rPr>
        <w:t xml:space="preserve">: Introduce the optional with capability signalling per FS indication of UE supporting </w:t>
      </w:r>
      <w:r>
        <w:rPr>
          <w:b/>
          <w:bCs/>
          <w:lang w:eastAsia="ja-JP" w:bidi="hi-IN"/>
        </w:rPr>
        <w:t xml:space="preserve">inter-band </w:t>
      </w:r>
      <w:r w:rsidRPr="006100EE">
        <w:rPr>
          <w:b/>
          <w:bCs/>
          <w:lang w:eastAsia="ja-JP" w:bidi="hi-IN"/>
        </w:rPr>
        <w:t>SSB-less SCell activation in Rel-18.</w:t>
      </w:r>
      <w:r w:rsidRPr="004778BC">
        <w:rPr>
          <w:lang w:val="en-US"/>
        </w:rPr>
        <w:t xml:space="preserve"> </w:t>
      </w:r>
    </w:p>
    <w:p w14:paraId="52A1A2D9" w14:textId="77777777" w:rsidR="006773C1" w:rsidRDefault="006773C1" w:rsidP="006773C1">
      <w:pPr>
        <w:rPr>
          <w:b/>
          <w:bCs/>
        </w:rPr>
      </w:pPr>
      <w:r w:rsidRPr="00B75C8C">
        <w:rPr>
          <w:b/>
          <w:bCs/>
        </w:rPr>
        <w:t>Proposal</w:t>
      </w:r>
      <w:r>
        <w:rPr>
          <w:b/>
          <w:bCs/>
        </w:rPr>
        <w:t xml:space="preserve"> 3</w:t>
      </w:r>
      <w:r w:rsidRPr="00B75C8C">
        <w:rPr>
          <w:b/>
          <w:bCs/>
        </w:rPr>
        <w:t>: Together with the specification of inter-band cases, RAN4 specifies requirements also for intra-band non-contiguous CA.</w:t>
      </w:r>
    </w:p>
    <w:p w14:paraId="1DF15393" w14:textId="77777777" w:rsidR="006773C1" w:rsidRDefault="006773C1" w:rsidP="006773C1">
      <w:pPr>
        <w:rPr>
          <w:b/>
          <w:bCs/>
        </w:rPr>
      </w:pPr>
      <w:r>
        <w:rPr>
          <w:b/>
          <w:bCs/>
        </w:rPr>
        <w:t>Proposal 4: Activation requirements specified for inter-band CA SSB-less SCell also apply to intra-band non-contiguous CA SSB-less SCell activation.</w:t>
      </w:r>
    </w:p>
    <w:p w14:paraId="4E1FE1BA" w14:textId="5CB2E665" w:rsidR="006773C1" w:rsidRPr="00B75C8C" w:rsidRDefault="006773C1" w:rsidP="006773C1">
      <w:pPr>
        <w:rPr>
          <w:b/>
          <w:bCs/>
        </w:rPr>
      </w:pPr>
      <w:r>
        <w:rPr>
          <w:b/>
          <w:bCs/>
        </w:rPr>
        <w:t xml:space="preserve">Proposal 5: </w:t>
      </w:r>
      <w:r w:rsidR="00E7365F">
        <w:rPr>
          <w:b/>
          <w:bCs/>
        </w:rPr>
        <w:t>As</w:t>
      </w:r>
      <w:r>
        <w:rPr>
          <w:b/>
          <w:bCs/>
        </w:rPr>
        <w:t xml:space="preserve"> with inter-band CA, the UE uses the same capability signaling and feature group to indicate the capability for SSB-less intra-band non-contiguous CA activation requirements.</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55BB63D0" w14:textId="05025876" w:rsidR="006F73CA" w:rsidRDefault="006F73CA" w:rsidP="00536CC1">
      <w:pPr>
        <w:widowControl w:val="0"/>
        <w:numPr>
          <w:ilvl w:val="0"/>
          <w:numId w:val="1"/>
        </w:numPr>
        <w:jc w:val="both"/>
      </w:pPr>
    </w:p>
    <w:sectPr w:rsidR="006F73CA" w:rsidSect="002C4D71">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A152" w14:textId="77777777" w:rsidR="00EC2DC0" w:rsidRDefault="00EC2DC0" w:rsidP="00F01182">
      <w:pPr>
        <w:spacing w:before="0" w:after="0"/>
      </w:pPr>
      <w:r>
        <w:separator/>
      </w:r>
    </w:p>
  </w:endnote>
  <w:endnote w:type="continuationSeparator" w:id="0">
    <w:p w14:paraId="2350ECCE" w14:textId="77777777" w:rsidR="00EC2DC0" w:rsidRDefault="00EC2DC0" w:rsidP="00F01182">
      <w:pPr>
        <w:spacing w:before="0" w:after="0"/>
      </w:pPr>
      <w:r>
        <w:continuationSeparator/>
      </w:r>
    </w:p>
  </w:endnote>
  <w:endnote w:type="continuationNotice" w:id="1">
    <w:p w14:paraId="7F0A9CF9" w14:textId="77777777" w:rsidR="00EC2DC0" w:rsidRDefault="00EC2DC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CEF7" w14:textId="77777777" w:rsidR="00E65832" w:rsidRDefault="00E65832"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139F7E" w14:textId="77777777" w:rsidR="00E65832" w:rsidRDefault="00E65832"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679CE" w14:textId="77777777" w:rsidR="00E65832" w:rsidRPr="00DB1239" w:rsidRDefault="00E65832"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081D" w14:textId="77777777" w:rsidR="00E65832" w:rsidRDefault="00E658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E516" w14:textId="77777777" w:rsidR="00EC2DC0" w:rsidRDefault="00EC2DC0" w:rsidP="00F01182">
      <w:pPr>
        <w:spacing w:before="0" w:after="0"/>
      </w:pPr>
      <w:r>
        <w:separator/>
      </w:r>
    </w:p>
  </w:footnote>
  <w:footnote w:type="continuationSeparator" w:id="0">
    <w:p w14:paraId="23477C9B" w14:textId="77777777" w:rsidR="00EC2DC0" w:rsidRDefault="00EC2DC0" w:rsidP="00F01182">
      <w:pPr>
        <w:spacing w:before="0" w:after="0"/>
      </w:pPr>
      <w:r>
        <w:continuationSeparator/>
      </w:r>
    </w:p>
  </w:footnote>
  <w:footnote w:type="continuationNotice" w:id="1">
    <w:p w14:paraId="4BAA9354" w14:textId="77777777" w:rsidR="00EC2DC0" w:rsidRDefault="00EC2DC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A040A" w14:textId="77777777" w:rsidR="00E65832" w:rsidRDefault="00E6583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E4C3" w14:textId="77777777" w:rsidR="00E65832" w:rsidRDefault="00E65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83001" w14:textId="77777777" w:rsidR="00E65832" w:rsidRDefault="00E65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1"/>
  </w:num>
  <w:num w:numId="3" w16cid:durableId="1750498845">
    <w:abstractNumId w:val="24"/>
  </w:num>
  <w:num w:numId="4" w16cid:durableId="543520260">
    <w:abstractNumId w:val="18"/>
  </w:num>
  <w:num w:numId="5" w16cid:durableId="1359502119">
    <w:abstractNumId w:val="11"/>
  </w:num>
  <w:num w:numId="6" w16cid:durableId="1793940456">
    <w:abstractNumId w:val="27"/>
  </w:num>
  <w:num w:numId="7" w16cid:durableId="537012164">
    <w:abstractNumId w:val="10"/>
  </w:num>
  <w:num w:numId="8" w16cid:durableId="2097706601">
    <w:abstractNumId w:val="0"/>
  </w:num>
  <w:num w:numId="9" w16cid:durableId="1310327117">
    <w:abstractNumId w:val="13"/>
  </w:num>
  <w:num w:numId="10" w16cid:durableId="1636716512">
    <w:abstractNumId w:val="28"/>
  </w:num>
  <w:num w:numId="11" w16cid:durableId="715861796">
    <w:abstractNumId w:val="1"/>
  </w:num>
  <w:num w:numId="12" w16cid:durableId="839199737">
    <w:abstractNumId w:val="2"/>
  </w:num>
  <w:num w:numId="13" w16cid:durableId="1818840559">
    <w:abstractNumId w:val="23"/>
  </w:num>
  <w:num w:numId="14" w16cid:durableId="1427581886">
    <w:abstractNumId w:val="14"/>
  </w:num>
  <w:num w:numId="15" w16cid:durableId="1860504042">
    <w:abstractNumId w:val="22"/>
  </w:num>
  <w:num w:numId="16" w16cid:durableId="1765879093">
    <w:abstractNumId w:val="15"/>
  </w:num>
  <w:num w:numId="17" w16cid:durableId="483280718">
    <w:abstractNumId w:val="29"/>
  </w:num>
  <w:num w:numId="18" w16cid:durableId="1885829372">
    <w:abstractNumId w:val="16"/>
  </w:num>
  <w:num w:numId="19" w16cid:durableId="513542627">
    <w:abstractNumId w:val="6"/>
  </w:num>
  <w:num w:numId="20" w16cid:durableId="754546545">
    <w:abstractNumId w:val="17"/>
  </w:num>
  <w:num w:numId="21" w16cid:durableId="693922844">
    <w:abstractNumId w:val="21"/>
  </w:num>
  <w:num w:numId="22" w16cid:durableId="488254912">
    <w:abstractNumId w:val="21"/>
  </w:num>
  <w:num w:numId="23" w16cid:durableId="313418068">
    <w:abstractNumId w:val="21"/>
  </w:num>
  <w:num w:numId="24" w16cid:durableId="1253708625">
    <w:abstractNumId w:val="21"/>
  </w:num>
  <w:num w:numId="25" w16cid:durableId="1868327563">
    <w:abstractNumId w:val="21"/>
  </w:num>
  <w:num w:numId="26" w16cid:durableId="403720693">
    <w:abstractNumId w:val="22"/>
  </w:num>
  <w:num w:numId="27" w16cid:durableId="979964366">
    <w:abstractNumId w:val="8"/>
  </w:num>
  <w:num w:numId="28" w16cid:durableId="1145703836">
    <w:abstractNumId w:val="25"/>
  </w:num>
  <w:num w:numId="29" w16cid:durableId="1350718329">
    <w:abstractNumId w:val="26"/>
  </w:num>
  <w:num w:numId="30" w16cid:durableId="1228496372">
    <w:abstractNumId w:val="12"/>
  </w:num>
  <w:num w:numId="31" w16cid:durableId="1234511580">
    <w:abstractNumId w:val="7"/>
  </w:num>
  <w:num w:numId="32" w16cid:durableId="2116704110">
    <w:abstractNumId w:val="20"/>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0"/>
  </w:num>
  <w:num w:numId="35" w16cid:durableId="80837908">
    <w:abstractNumId w:val="5"/>
  </w:num>
  <w:num w:numId="36" w16cid:durableId="1173380315">
    <w:abstractNumId w:val="24"/>
  </w:num>
  <w:num w:numId="37" w16cid:durableId="553003575">
    <w:abstractNumId w:val="19"/>
  </w:num>
  <w:num w:numId="38" w16cid:durableId="11037231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81385"/>
    <w:rsid w:val="00081866"/>
    <w:rsid w:val="00084065"/>
    <w:rsid w:val="00095052"/>
    <w:rsid w:val="000A2FFB"/>
    <w:rsid w:val="000A50D0"/>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6A95"/>
    <w:rsid w:val="00107875"/>
    <w:rsid w:val="00107AE1"/>
    <w:rsid w:val="00112CB5"/>
    <w:rsid w:val="0011347F"/>
    <w:rsid w:val="00113F61"/>
    <w:rsid w:val="00115392"/>
    <w:rsid w:val="00115F4E"/>
    <w:rsid w:val="0011631D"/>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6ACE"/>
    <w:rsid w:val="001977AA"/>
    <w:rsid w:val="001A0FB7"/>
    <w:rsid w:val="001A248D"/>
    <w:rsid w:val="001A5351"/>
    <w:rsid w:val="001A63FD"/>
    <w:rsid w:val="001B0D59"/>
    <w:rsid w:val="001B170B"/>
    <w:rsid w:val="001B7857"/>
    <w:rsid w:val="001B79B4"/>
    <w:rsid w:val="001C072A"/>
    <w:rsid w:val="001C25E3"/>
    <w:rsid w:val="001C2D4A"/>
    <w:rsid w:val="001C50C7"/>
    <w:rsid w:val="001C5DFA"/>
    <w:rsid w:val="001C7338"/>
    <w:rsid w:val="001D2452"/>
    <w:rsid w:val="001D3B76"/>
    <w:rsid w:val="001D3FD8"/>
    <w:rsid w:val="001D5800"/>
    <w:rsid w:val="001D7FB9"/>
    <w:rsid w:val="001E098C"/>
    <w:rsid w:val="001E5AEF"/>
    <w:rsid w:val="001E6FB4"/>
    <w:rsid w:val="001E7235"/>
    <w:rsid w:val="001E73FA"/>
    <w:rsid w:val="001E7C30"/>
    <w:rsid w:val="001F076E"/>
    <w:rsid w:val="001F1ED3"/>
    <w:rsid w:val="001F214A"/>
    <w:rsid w:val="001F4A14"/>
    <w:rsid w:val="001F650C"/>
    <w:rsid w:val="00204AD9"/>
    <w:rsid w:val="00204C52"/>
    <w:rsid w:val="00206FF2"/>
    <w:rsid w:val="002102C7"/>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19C9"/>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5309"/>
    <w:rsid w:val="003D6940"/>
    <w:rsid w:val="003D7C52"/>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F7B"/>
    <w:rsid w:val="009335D9"/>
    <w:rsid w:val="0093423E"/>
    <w:rsid w:val="00936DE1"/>
    <w:rsid w:val="00941089"/>
    <w:rsid w:val="0094154F"/>
    <w:rsid w:val="0094190F"/>
    <w:rsid w:val="00941F19"/>
    <w:rsid w:val="00941FFE"/>
    <w:rsid w:val="009436B2"/>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5B99"/>
    <w:rsid w:val="009861E1"/>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74C8"/>
    <w:rsid w:val="00A677D6"/>
    <w:rsid w:val="00A70703"/>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346"/>
    <w:rsid w:val="00B62BA2"/>
    <w:rsid w:val="00B635C8"/>
    <w:rsid w:val="00B635E3"/>
    <w:rsid w:val="00B64147"/>
    <w:rsid w:val="00B65363"/>
    <w:rsid w:val="00B66AAB"/>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27F"/>
    <w:rsid w:val="00D26F51"/>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6700"/>
    <w:rsid w:val="00F06A7C"/>
    <w:rsid w:val="00F0792A"/>
    <w:rsid w:val="00F07B5F"/>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16C5BA60-9AD4-4753-B8D0-4C092F2AA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3696</TotalTime>
  <Pages>4</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705</cp:revision>
  <dcterms:created xsi:type="dcterms:W3CDTF">2022-01-07T10:14:00Z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